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emf" ContentType="application/x-msmetafil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rect id="Rect 1" style="position:absolute;width:17pt;height:769.4pt;z-index:0;mso-wrap-distance-left:9pt;mso-wrap-distance-top:0pt;mso-wrap-distance-right:9pt;mso-wrap-distance-bottom:0pt;margin-left:556.2pt;margin-top:35.4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2" style="position:absolute;width:17pt;height:769.4pt;z-index:0;mso-wrap-distance-left:9pt;mso-wrap-distance-top:0pt;mso-wrap-distance-right:9pt;mso-wrap-distance-bottom:0pt;margin-left:18.25pt;margin-top:35.4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3" style="position:absolute;width:544.15pt;height:17pt;z-index:0;mso-wrap-distance-left:9pt;mso-wrap-distance-top:0pt;mso-wrap-distance-right:9pt;mso-wrap-distance-bottom:0pt;margin-left:28.9pt;margin-top:35.4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4" style="position:absolute;width:537.3pt;height:17pt;z-index:0;mso-wrap-distance-left:9pt;mso-wrap-distance-top:0pt;mso-wrap-distance-right:9pt;mso-wrap-distance-bottom:0pt;margin-left:28.55pt;margin-top:104.0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5" style="position:absolute;width:537.3pt;height:16.75pt;z-index:0;mso-wrap-distance-left:9pt;mso-wrap-distance-top:0pt;mso-wrap-distance-right:9pt;mso-wrap-distance-bottom:0pt;margin-left:27.05pt;margin-top:158.2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6" style="position:absolute;width:537.3pt;height:17pt;z-index:0;mso-wrap-distance-left:9pt;mso-wrap-distance-top:0pt;mso-wrap-distance-right:9pt;mso-wrap-distance-bottom:0pt;margin-left:27.8pt;margin-top:360.4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7" style="position:absolute;width:537.3pt;height:17pt;z-index:0;mso-wrap-distance-left:9pt;mso-wrap-distance-top:0pt;mso-wrap-distance-right:9pt;mso-wrap-distance-bottom:0pt;margin-left:30.05pt;margin-top:691.0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8" style="position:absolute;width:536.8pt;height:17.25pt;z-index:0;mso-wrap-distance-left:9pt;mso-wrap-distance-top:0pt;mso-wrap-distance-right:9pt;mso-wrap-distance-bottom:0pt;margin-left:19.4pt;margin-top:787.6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line id="Line 9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28.05pt,52.45pt" to="228.05pt,97.35pt"/>
        </w:pict>
      </w:r>
      <w:r>
        <w:rPr>
          <w:rFonts w:ascii="Arial" w:hAnsi="Arial" w:cs="Arial"/>
        </w:rPr>
        <w:pict>
          <v:line id="Line 10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87.8pt,52.45pt" to="387.8pt,97.35pt"/>
        </w:pict>
      </w:r>
      <w:r>
        <w:rPr>
          <w:rFonts w:ascii="Arial" w:hAnsi="Arial" w:cs="Arial"/>
        </w:rPr>
        <w:pict>
          <v:line id="Line 11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97.15pt" to="556.25pt,97.15pt"/>
        </w:pict>
      </w:r>
      <w:r>
        <w:rPr>
          <w:rFonts w:ascii="Arial" w:hAnsi="Arial" w:cs="Arial"/>
        </w:rPr>
        <w:pict>
          <v:line id="Line 12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177.2pt,770.5pt" to="177.2pt,787.65pt"/>
        </w:pict>
      </w:r>
      <w:r>
        <w:rPr>
          <w:rFonts w:ascii="Arial" w:hAnsi="Arial" w:cs="Arial"/>
        </w:rPr>
        <w:pict>
          <v:line id="Line 13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769.95pt" to="556.9pt,769.95pt"/>
        </w:pict>
      </w:r>
      <w:r>
        <w:rPr>
          <w:rFonts w:ascii="Arial" w:hAnsi="Arial" w:cs="Arial"/>
        </w:rPr>
        <w:pict>
          <v:line id="Line 14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91.2pt,770.5pt" to="291.2pt,787.65pt"/>
        </w:pict>
      </w:r>
      <w:r>
        <w:rPr>
          <w:rFonts w:ascii="Arial" w:hAnsi="Arial" w:cs="Arial"/>
        </w:rPr>
        <w:pict>
          <v:shapetype xmlns:o="urn:schemas-microsoft-com:office:offic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xmlns:o="urn:schemas-microsoft-com:office:office" id="Picture 15" o:spid="_x0000_s1040" type="#_x0000_t75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o:preferrelative="f" filled="f" stroked="f">
            <v:imagedata xmlns:r="http://schemas.openxmlformats.org/officeDocument/2006/relationships" r:id="Relimage1" o:title=""/>
          </v:shape>
        </w:pict>
      </w:r>
      <w:r>
        <w:rPr>
          <w:rFonts w:ascii="Arial" w:hAnsi="Arial" w:cs="Arial"/>
          <w:color w:val="000000"/>
          <w:sz w:val="19"/>
          <w:szCs w:val="19"/>
        </w:rPr>
        <w:t>BUZIL-WERK Wagner GmbH &amp; Co. KG</w:t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5"/>
          <w:szCs w:val="25"/>
        </w:rPr>
        <w:t>Betriebsanweisung</w:t>
      </w: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gem. § 14 GefStoffV</w:t>
      </w:r>
    </w:p>
    <w:p>
      <w:pPr>
        <w:framePr w:w="10195" w:h="283" w:hRule="exact" w:vAnchor="page" w:hAnchor="page" w:x="816" w:y="2535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3"/>
          <w:szCs w:val="23"/>
        </w:rPr>
        <w:t>BUCASAN® SANIBOND</w:t>
      </w:r>
    </w:p>
    <w:p>
      <w:pPr>
        <w:framePr w:w="10255" w:h="331" w:hRule="exact" w:vAnchor="page" w:hAnchor="page" w:x="756" w:y="20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GEFAHRSTOFFBEZEICHNUNG</w:t>
      </w:r>
    </w:p>
    <w:p>
      <w:pPr>
        <w:framePr w:w="10196" w:h="228" w:hRule="exact" w:vAnchor="page" w:hAnchor="page" w:x="816" w:y="28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 457</w:t>
      </w:r>
    </w:p>
    <w:p>
      <w:pPr>
        <w:framePr w:w="10195" w:h="331" w:hRule="exact" w:vAnchor="page" w:hAnchor="page" w:x="755" w:y="316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GEFAHREN FÜR MENSCH UND UMWELT</w:t>
      </w:r>
    </w:p>
    <w:p>
      <w:pPr>
        <w:framePr w:w="9113" w:h="319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</w:rPr>
        <w:pict>
          <v:rect id="Rect 16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</w:rPr>
        <w:pict>
          <v:rect id="Rect 17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</w:rPr>
        <w:pict>
          <v:rect id="Rect 18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</w:rPr>
        <w:pict>
          <v:rect id="Rect 19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</w:rPr>
        <w:pict>
          <v:rect id="Rect 20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</w:rPr>
        <w:pict>
          <v:rect id="Rect 21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  <w:color w:val="000000"/>
          <w:sz w:val="19"/>
          <w:szCs w:val="19"/>
        </w:rPr>
        <w:t>Enthält Methylchloroisothiazolinon, 2-Methyl-2H-isothiazol-3-on. Kann allergische Reaktionen hervorrufen.</w:t>
      </w:r>
    </w:p>
    <w:p>
      <w:pPr>
        <w:framePr w:w="9113" w:h="319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Sicherheitsdatenblatt auf Anfrage erhältlich.</w:t>
      </w:r>
    </w:p>
    <w:p>
      <w:pPr>
        <w:framePr w:w="9113" w:h="319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Die Stoffe im Gemisch erfüllen nicht die PBT/vPvB Kriterien gemäß REACH, Anhang XIII. </w:t>
      </w:r>
    </w:p>
    <w:p>
      <w:pPr>
        <w:framePr w:w="9113" w:h="319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</w:p>
    <w:p>
      <w:pPr>
        <w:framePr w:w="9113" w:h="319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</w:p>
    <w:p>
      <w:pPr>
        <w:framePr w:w="9113" w:h="319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</w:p>
    <w:p>
      <w:pPr>
        <w:framePr w:w="9113" w:h="319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Wassergefährdungsklasse: schwach wassergefährdend</w:t>
      </w:r>
    </w:p>
    <w:p>
      <w:pPr>
        <w:framePr w:w="9113" w:h="319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Reaktivität: Bei bestimmungsgemäßer Handhabung und Lagerung treten keine gefährlichen Reaktionen auf.</w:t>
      </w:r>
    </w:p>
    <w:p>
      <w:pPr>
        <w:framePr w:w="9113" w:h="319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Chemische Stabilität: Das Produkt ist bei Lagerung bei normalen Umgebungstemperaturen stabil.</w:t>
      </w:r>
    </w:p>
    <w:p>
      <w:pPr>
        <w:framePr w:w="9113" w:h="319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Unverträgliche Materialien: Es liegen keine Informationen vor.</w:t>
      </w:r>
    </w:p>
    <w:p>
      <w:pPr>
        <w:framePr w:w="9113" w:h="319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</w:p>
    <w:p>
      <w:pPr>
        <w:framePr w:w="9113" w:h="3192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Gefährliche Zersetzungsprodukte: Es sind keine gefährlichen Zersetzungsprodukte bekannt.</w:t>
      </w:r>
    </w:p>
    <w:p>
      <w:pPr>
        <w:framePr w:w="7860" w:h="6156" w:hRule="exact" w:vAnchor="page" w:hAnchor="page" w:x="1967" w:y="760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</w:rPr>
        <w:pict>
          <v:shape xmlns:o="urn:schemas-microsoft-com:office:office" id="Picture 22" o:spid="_x0000_s1047" type="#_x0000_t75" style="position:absolute;width:45.4pt;height:45.3pt;z-index:0;mso-wrap-distance-left:9pt;mso-wrap-distance-top:0pt;mso-wrap-distance-right:9pt;mso-wrap-distance-bottom:0pt;margin-left:40.75pt;margin-top:380.25pt;mso-position-horizontal:absolute;mso-position-horizontal-relative:page;mso-position-vertical:absolute;mso-position-vertical-relative:page" o:preferrelative="f" filled="f" stroked="f">
            <v:imagedata xmlns:r="http://schemas.openxmlformats.org/officeDocument/2006/relationships" r:id="Relimage2" o:title=""/>
          </v:shape>
        </w:pict>
      </w:r>
      <w:r>
        <w:rPr>
          <w:rFonts w:ascii="Arial" w:hAnsi="Arial" w:cs="Arial"/>
        </w:rPr>
        <w:pict>
          <v:rect id="Rect 23" style="position:absolute;width:45.4pt;height:45.3pt;z-index:0;mso-wrap-distance-left:9pt;mso-wrap-distance-top:0pt;mso-wrap-distance-right:9pt;mso-wrap-distance-bottom:0pt;margin-left:40.75pt;margin-top:380.25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</w:rPr>
        <w:pict>
          <v:rect id="Rect 24" style="position:absolute;width:45.4pt;height:45.3pt;z-index:0;mso-wrap-distance-left:9pt;mso-wrap-distance-top:0pt;mso-wrap-distance-right:9pt;mso-wrap-distance-bottom:0pt;margin-left:40.75pt;margin-top:380.25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</w:rPr>
        <w:pict>
          <v:rect id="Rect 25" style="position:absolute;width:45.4pt;height:45.3pt;z-index:0;mso-wrap-distance-left:9pt;mso-wrap-distance-top:0pt;mso-wrap-distance-right:9pt;mso-wrap-distance-bottom:0pt;margin-left:40.75pt;margin-top:380.25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</w:rPr>
        <w:pict>
          <v:rect id="Rect 26" style="position:absolute;width:45.4pt;height:45.3pt;z-index:0;mso-wrap-distance-left:9pt;mso-wrap-distance-top:0pt;mso-wrap-distance-right:9pt;mso-wrap-distance-bottom:0pt;margin-left:40.75pt;margin-top:380.25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  <w:color w:val="000000"/>
          <w:sz w:val="19"/>
          <w:szCs w:val="19"/>
        </w:rPr>
        <w:t>Schutzhandschuhe/Schutzkleidung/Augenschutz/Gesichtsschutz tragen.</w:t>
      </w:r>
    </w:p>
    <w:p>
      <w:pPr>
        <w:framePr w:w="7860" w:h="6156" w:hRule="exact" w:vAnchor="page" w:hAnchor="page" w:x="1967" w:y="760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BEI BERÜHRUNG MIT DER HAUT: Mit viel Wasser und Seife waschen.</w:t>
      </w:r>
    </w:p>
    <w:p>
      <w:pPr>
        <w:framePr w:w="7860" w:h="6156" w:hRule="exact" w:vAnchor="page" w:hAnchor="page" w:x="1967" w:y="760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Hinweise zur allgemeinen Industriehygiene: Kontaminierte Kleidung ausziehen. </w:t>
      </w:r>
    </w:p>
    <w:p>
      <w:pPr>
        <w:framePr w:w="7860" w:h="6156" w:hRule="exact" w:vAnchor="page" w:hAnchor="page" w:x="1967" w:y="760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Vor den Pausen und bei Arbeitsende Hände waschen. </w:t>
      </w:r>
    </w:p>
    <w:p>
      <w:pPr>
        <w:framePr w:w="7860" w:h="6156" w:hRule="exact" w:vAnchor="page" w:hAnchor="page" w:x="1967" w:y="760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Bei der Arbeit nicht essen, trinken, rauchen. </w:t>
      </w:r>
    </w:p>
    <w:p>
      <w:pPr>
        <w:framePr w:w="7860" w:h="6156" w:hRule="exact" w:vAnchor="page" w:hAnchor="page" w:x="1967" w:y="760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Hinweise zum sicheren Umgang: Kontakt mit Haut, Augen und Kleidung vermeiden. </w:t>
      </w:r>
    </w:p>
    <w:p>
      <w:pPr>
        <w:framePr w:w="7860" w:h="6156" w:hRule="exact" w:vAnchor="page" w:hAnchor="page" w:x="1967" w:y="760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mischen mit anderen Chemikalien. </w:t>
      </w:r>
    </w:p>
    <w:p>
      <w:pPr>
        <w:framePr w:w="7860" w:h="6156" w:hRule="exact" w:vAnchor="page" w:hAnchor="page" w:x="1967" w:y="760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Persönliche Schutzausrüstung verwenden. </w:t>
      </w:r>
    </w:p>
    <w:p>
      <w:pPr>
        <w:framePr w:w="7860" w:h="6156" w:hRule="exact" w:vAnchor="page" w:hAnchor="page" w:x="1967" w:y="760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Bei der Arbeit nicht essen, trinken, rauchen. </w:t>
      </w:r>
    </w:p>
    <w:p>
      <w:pPr>
        <w:framePr w:w="7860" w:h="6156" w:hRule="exact" w:vAnchor="page" w:hAnchor="page" w:x="1967" w:y="760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7860" w:h="6156" w:hRule="exact" w:vAnchor="page" w:hAnchor="page" w:x="1967" w:y="760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Zusammenlagerungshinweise: Keine besonderen Vorsichtsmaßnahmen erforderlich.</w:t>
      </w:r>
    </w:p>
    <w:p>
      <w:pPr>
        <w:framePr w:w="7860" w:h="6156" w:hRule="exact" w:vAnchor="page" w:hAnchor="page" w:x="1967" w:y="760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Spezifische Endanwendungen: Es sind keine Daten für die Mischung verfügbar.</w:t>
      </w:r>
    </w:p>
    <w:p>
      <w:pPr>
        <w:framePr w:w="7860" w:h="6156" w:hRule="exact" w:vAnchor="page" w:hAnchor="page" w:x="1967" w:y="760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Atemschutz: Normalerweise kein persönlicher Atemschutz notwendig. </w:t>
      </w:r>
    </w:p>
    <w:p>
      <w:pPr>
        <w:framePr w:w="7860" w:h="6156" w:hRule="exact" w:vAnchor="page" w:hAnchor="page" w:x="1967" w:y="760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7860" w:h="6156" w:hRule="exact" w:vAnchor="page" w:hAnchor="page" w:x="1967" w:y="760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Handschutz: Geeignete Schutzhandschuhe tragen. (EN 374, Durchbruchszeit: &gt;10 min.) </w:t>
      </w:r>
    </w:p>
    <w:p>
      <w:pPr>
        <w:framePr w:w="7860" w:h="6156" w:hRule="exact" w:vAnchor="page" w:hAnchor="page" w:x="1967" w:y="760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Geeignetes Material: NBR (Nitrilkautschuk).</w:t>
      </w:r>
    </w:p>
    <w:p>
      <w:pPr>
        <w:framePr w:w="7860" w:h="6156" w:hRule="exact" w:vAnchor="page" w:hAnchor="page" w:x="1967" w:y="760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Dicke des Handschuhmaterials &gt;= 0,1 mm</w:t>
      </w:r>
    </w:p>
    <w:p>
      <w:pPr>
        <w:framePr w:w="7860" w:h="6156" w:hRule="exact" w:vAnchor="page" w:hAnchor="page" w:x="1967" w:y="760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Eine Liste geeigneter Fabrikate mit detaillierten Angaben zur Tragedauer ist auf Anfrage erhältlich.  </w:t>
      </w:r>
    </w:p>
    <w:p>
      <w:pPr>
        <w:framePr w:w="7860" w:h="6156" w:hRule="exact" w:vAnchor="page" w:hAnchor="page" w:x="1967" w:y="760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7860" w:h="6156" w:hRule="exact" w:vAnchor="page" w:hAnchor="page" w:x="1967" w:y="760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Verdünnte Anwendungslösungen &lt;= 1%: </w:t>
      </w:r>
    </w:p>
    <w:p>
      <w:pPr>
        <w:framePr w:w="7860" w:h="6156" w:hRule="exact" w:vAnchor="page" w:hAnchor="page" w:x="1967" w:y="760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Auf Schutzhandschuhe kann verzichtet werden, sofern gleichwertige Schutzmaßnahmen unter Berücksichtigung einer erhöhten Hautbelastung infolge Feuchtarbeit getroffen werden (z. B. Verwendung geeigneter Hautschutzsalben). </w:t>
      </w:r>
    </w:p>
    <w:p>
      <w:pPr>
        <w:framePr w:w="7860" w:h="6156" w:hRule="exact" w:vAnchor="page" w:hAnchor="page" w:x="1967" w:y="760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Geeigneter Augenschutz: Augenschutz/Gesichtsschutz tragen. (EN 166)</w:t>
      </w:r>
    </w:p>
    <w:p>
      <w:pPr>
        <w:framePr w:w="7860" w:h="6156" w:hRule="exact" w:vAnchor="page" w:hAnchor="page" w:x="1967" w:y="760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Körperschutz: Geeignete Arbeitskleidung tragen.</w:t>
      </w:r>
    </w:p>
    <w:p>
      <w:pPr>
        <w:framePr w:w="7860" w:h="6156" w:hRule="exact" w:vAnchor="page" w:hAnchor="page" w:x="1967" w:y="760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10195" w:h="331" w:hRule="exact" w:vAnchor="page" w:hAnchor="page" w:x="756" w:y="720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rect id="Rect 27" style="position:absolute;width:45.4pt;height:45.3pt;z-index:0;mso-wrap-distance-left:9pt;mso-wrap-distance-top:0pt;mso-wrap-distance-right:9pt;mso-wrap-distance-bottom:0pt;margin-left:40.75pt;margin-top:380.25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SCHUTZMASSNAHMEN UND VERHALTENSREGELN</w:t>
      </w:r>
    </w:p>
    <w:p>
      <w:pPr>
        <w:framePr w:w="7875" w:h="912" w:hRule="exact" w:vAnchor="page" w:hAnchor="page" w:x="1967" w:y="1421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 Löschmittel: Wassersprühstrahl</w:t>
      </w:r>
    </w:p>
    <w:p>
      <w:pPr>
        <w:framePr w:w="7875" w:h="912" w:hRule="exact" w:vAnchor="page" w:hAnchor="page" w:x="1967" w:y="1421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alkoholbeständiger Schaum</w:t>
      </w:r>
    </w:p>
    <w:p>
      <w:pPr>
        <w:framePr w:w="7875" w:h="912" w:hRule="exact" w:vAnchor="page" w:hAnchor="page" w:x="1967" w:y="1421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Kohlendioxid</w:t>
      </w:r>
    </w:p>
    <w:p>
      <w:pPr>
        <w:framePr w:w="7875" w:h="912" w:hRule="exact" w:vAnchor="page" w:hAnchor="page" w:x="1967" w:y="1421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Löschpulver </w:t>
      </w:r>
    </w:p>
    <w:p>
      <w:pPr>
        <w:framePr w:w="7875" w:h="912" w:hRule="exact" w:vAnchor="page" w:hAnchor="page" w:x="1967" w:y="1421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10195" w:h="331" w:hRule="exact" w:vAnchor="page" w:hAnchor="page" w:x="755" w:y="1381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rect id="Rect 28" style="position:absolute;width:45.4pt;height:45.3pt;z-index:0;mso-wrap-distance-left:9pt;mso-wrap-distance-top:0pt;mso-wrap-distance-right:9pt;mso-wrap-distance-bottom:0pt;margin-left:40.75pt;margin-top:380.25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VERHALTEN IM GEFAHRFALL</w:t>
      </w:r>
    </w:p>
    <w:p>
      <w:pPr>
        <w:framePr w:w="1099" w:h="932" w:hRule="exact" w:vAnchor="page" w:hAnchor="page" w:x="816" w:y="14218"/>
        <w:tabs>
          <w:tab w:val="left" w:pos="360" w:leader="none"/>
          <w:tab w:val="left" w:pos="720" w:leader="none"/>
          <w:tab w:val="left" w:pos="1080" w:leader="none"/>
        </w:tabs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19"/>
          <w:szCs w:val="19"/>
        </w:rPr>
        <w:t>Feuerwehr:</w:t>
      </w:r>
    </w:p>
    <w:p>
      <w:pPr>
        <w:framePr w:w="1099" w:h="932" w:hRule="exact" w:vAnchor="page" w:hAnchor="page" w:x="816" w:y="14218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112</w:t>
      </w:r>
    </w:p>
    <w:p>
      <w:pPr>
        <w:framePr w:w="2672" w:h="238" w:hRule="exact" w:vAnchor="page" w:hAnchor="page" w:x="816" w:y="154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Stand: 20.01.2022</w:t>
      </w:r>
    </w:p>
    <w:p>
      <w:pPr>
        <w:framePr w:w="969" w:h="251" w:hRule="exact" w:vAnchor="page" w:hAnchor="page" w:x="10442" w:y="15755"/>
        <w:tabs>
          <w:tab w:val="left" w:pos="360" w:leader="none"/>
          <w:tab w:val="left" w:pos="720" w:leader="none"/>
        </w:tabs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1/2</w:t>
      </w:r>
    </w:p>
    <w:p>
      <w:pPr>
        <w:framePr w:w="2199" w:h="236" w:hRule="exact" w:vAnchor="page" w:hAnchor="page" w:x="3644" w:y="154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Nr.: BA_G457</w:t>
      </w:r>
    </w:p>
    <w:p>
      <w:pPr>
        <w:framePr w:w="627" w:h="185" w:hRule="exact" w:vAnchor="page" w:hAnchor="page" w:x="5398" w:y="15867"/>
        <w:tabs>
          <w:tab w:val="left" w:pos="36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5"/>
          <w:szCs w:val="15"/>
        </w:rPr>
        <w:t>DE</w:t>
      </w:r>
    </w:p>
    <w:p>
      <w:pPr>
        <w:rPr>
          <w:rFonts w:ascii="Arial" w:hAnsi="Arial" w:cs="Arial"/>
        </w:rPr>
        <w:sectPr>
          <w:type w:val="continuous"/>
          <w:pgSz w:w="11904" w:h="16834" w:code="0"/>
          <w:pgMar w:left="181" w:right="363" w:top="709" w:bottom="737" w:header="708" w:footer="708" w:gutter="0"/>
          <w:noEndnote/>
        </w:sectPr>
      </w:pPr>
      <w:r>
        <w:rPr>
          <w:rFonts w:ascii="Arial" w:hAnsi="Arial" w:cs="Arial"/>
        </w:rPr>
        <w:br w:type="page"/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rect id="Rect 29" style="position:absolute;width:17pt;height:769.4pt;z-index:0;mso-wrap-distance-left:9pt;mso-wrap-distance-top:0pt;mso-wrap-distance-right:9pt;mso-wrap-distance-bottom:0pt;margin-left:556.2pt;margin-top:35.4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30" style="position:absolute;width:17pt;height:769.4pt;z-index:0;mso-wrap-distance-left:9pt;mso-wrap-distance-top:0pt;mso-wrap-distance-right:9pt;mso-wrap-distance-bottom:0pt;margin-left:18.25pt;margin-top:35.4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31" style="position:absolute;width:544.15pt;height:17pt;z-index:0;mso-wrap-distance-left:9pt;mso-wrap-distance-top:0pt;mso-wrap-distance-right:9pt;mso-wrap-distance-bottom:0pt;margin-left:28.9pt;margin-top:35.4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32" style="position:absolute;width:524.05pt;height:16.75pt;z-index:0;mso-wrap-distance-left:9pt;mso-wrap-distance-top:0pt;mso-wrap-distance-right:9pt;mso-wrap-distance-bottom:0pt;margin-left:32.15pt;margin-top:240.7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33" style="position:absolute;width:537.3pt;height:17pt;z-index:0;mso-wrap-distance-left:9pt;mso-wrap-distance-top:0pt;mso-wrap-distance-right:9pt;mso-wrap-distance-bottom:0pt;margin-left:28.55pt;margin-top:354.8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34" style="position:absolute;width:536.8pt;height:17.25pt;z-index:0;mso-wrap-distance-left:9pt;mso-wrap-distance-top:0pt;mso-wrap-distance-right:9pt;mso-wrap-distance-bottom:0pt;margin-left:19.4pt;margin-top:787.6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line id="Line 35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28.05pt,52.45pt" to="228.05pt,97.35pt"/>
        </w:pict>
      </w:r>
      <w:r>
        <w:rPr>
          <w:rFonts w:ascii="Arial" w:hAnsi="Arial" w:cs="Arial"/>
        </w:rPr>
        <w:pict>
          <v:line id="Line 36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87.8pt,52.45pt" to="387.8pt,97.35pt"/>
        </w:pict>
      </w:r>
      <w:r>
        <w:rPr>
          <w:rFonts w:ascii="Arial" w:hAnsi="Arial" w:cs="Arial"/>
        </w:rPr>
        <w:pict>
          <v:line id="Line 37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97.15pt" to="556.25pt,97.15pt"/>
        </w:pict>
      </w:r>
      <w:r>
        <w:rPr>
          <w:rFonts w:ascii="Arial" w:hAnsi="Arial" w:cs="Arial"/>
        </w:rPr>
        <w:pict>
          <v:line id="Line 38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177.2pt,770.5pt" to="177.2pt,787.65pt"/>
        </w:pict>
      </w:r>
      <w:r>
        <w:rPr>
          <w:rFonts w:ascii="Arial" w:hAnsi="Arial" w:cs="Arial"/>
        </w:rPr>
        <w:pict>
          <v:line id="Line 39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769.95pt" to="556.9pt,769.95pt"/>
        </w:pict>
      </w:r>
      <w:r>
        <w:rPr>
          <w:rFonts w:ascii="Arial" w:hAnsi="Arial" w:cs="Arial"/>
        </w:rPr>
        <w:pict>
          <v:line id="Line 40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91.2pt,770.5pt" to="291.2pt,787.65pt"/>
        </w:pict>
      </w:r>
      <w:r>
        <w:rPr>
          <w:rFonts w:ascii="Arial" w:hAnsi="Arial" w:cs="Arial"/>
        </w:rPr>
        <w:pict>
          <v:shape xmlns:o="urn:schemas-microsoft-com:office:office" id="Picture 41" o:spid="_x0000_s1066" type="#_x0000_t75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o:preferrelative="f" filled="f" stroked="f">
            <v:imagedata xmlns:r="http://schemas.openxmlformats.org/officeDocument/2006/relationships" r:id="Relimage1" o:title=""/>
          </v:shape>
        </w:pict>
      </w:r>
      <w:r>
        <w:rPr>
          <w:rFonts w:ascii="Arial" w:hAnsi="Arial" w:cs="Arial"/>
          <w:color w:val="000000"/>
          <w:sz w:val="19"/>
          <w:szCs w:val="19"/>
        </w:rPr>
        <w:t>BUZIL-WERK Wagner GmbH &amp; Co. KG</w:t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5"/>
          <w:szCs w:val="25"/>
        </w:rPr>
        <w:t>Betriebsanweisung</w:t>
      </w: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gem. § 14 GefStoffV</w:t>
      </w:r>
    </w:p>
    <w:p>
      <w:pPr>
        <w:framePr w:w="7875" w:h="2736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Ungeeignete Löschmittel: Wasservollstrahl </w:t>
      </w:r>
    </w:p>
    <w:p>
      <w:pPr>
        <w:framePr w:w="7875" w:h="2736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Kontaminiertes Löschwasser getrennt sammeln. Nicht in die Kanalisation oder Gewässer gelangen lassen. </w:t>
      </w:r>
    </w:p>
    <w:p>
      <w:pPr>
        <w:framePr w:w="7875" w:h="2736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Maßnahmen bei unbeabsichtigter Freisetzung:</w:t>
      </w:r>
    </w:p>
    <w:p>
      <w:pPr>
        <w:framePr w:w="7875" w:h="2736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Persönliche Schutzausrüstung verwenden. </w:t>
      </w:r>
    </w:p>
    <w:p>
      <w:pPr>
        <w:framePr w:w="7875" w:h="2736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Kontakt mit Haut, Augen und Kleidung vermeiden. </w:t>
      </w:r>
    </w:p>
    <w:p>
      <w:pPr>
        <w:framePr w:w="7875" w:h="2736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in die Kanalisation oder Gewässer gelangen lassen. </w:t>
      </w:r>
    </w:p>
    <w:p>
      <w:pPr>
        <w:framePr w:w="7875" w:h="2736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in den Untergrund/Erdreich gelangen lassen. </w:t>
      </w:r>
    </w:p>
    <w:p>
      <w:pPr>
        <w:framePr w:w="7875" w:h="2736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7875" w:h="2736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Mit flüssigkeitsbindendem Material (Sand, Kieselgur, Säurebinder, Universalbinder) aufnehmen. </w:t>
      </w:r>
    </w:p>
    <w:p>
      <w:pPr>
        <w:framePr w:w="7875" w:h="2736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Das aufgenommene Material gemäß Abschnitt Entsorgung behandeln.</w:t>
      </w:r>
    </w:p>
    <w:p>
      <w:pPr>
        <w:framePr w:w="7875" w:h="1824" w:hRule="exact" w:vAnchor="page" w:hAnchor="page" w:x="1967" w:y="521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</w:rPr>
        <w:pict>
          <v:shape xmlns:o="urn:schemas-microsoft-com:office:office" id="Picture 42" o:spid="_x0000_s1067" type="#_x0000_t75" style="position:absolute;width:48.3pt;height:48.3pt;z-index:0;mso-wrap-distance-left:9pt;mso-wrap-distance-top:0pt;mso-wrap-distance-right:9pt;mso-wrap-distance-bottom:0pt;margin-left:40.75pt;margin-top:260.65pt;mso-position-horizontal:absolute;mso-position-horizontal-relative:page;mso-position-vertical:absolute;mso-position-vertical-relative:page" o:preferrelative="f" filled="f" stroked="f">
            <v:imagedata xmlns:r="http://schemas.openxmlformats.org/officeDocument/2006/relationships" r:id="Relimage3" o:title=""/>
          </v:shape>
        </w:pict>
      </w:r>
      <w:r>
        <w:rPr>
          <w:rFonts w:ascii="Arial" w:hAnsi="Arial" w:cs="Arial"/>
          <w:color w:val="000000"/>
          <w:sz w:val="19"/>
          <w:szCs w:val="19"/>
        </w:rPr>
        <w:t xml:space="preserve">Nach Einatmen: Für Frischluft sorgen. </w:t>
      </w:r>
    </w:p>
    <w:p>
      <w:pPr>
        <w:framePr w:w="7875" w:h="1824" w:hRule="exact" w:vAnchor="page" w:hAnchor="page" w:x="1967" w:y="521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Hautkontakt: Bei Berührung mit der Haut sofort abwaschen mit viel Wasser und Seife. </w:t>
      </w:r>
    </w:p>
    <w:p>
      <w:pPr>
        <w:framePr w:w="7875" w:h="1824" w:hRule="exact" w:vAnchor="page" w:hAnchor="page" w:x="1967" w:y="521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Kontaminierte Kleidung ausziehen und vor erneutem Tragen waschen. </w:t>
      </w:r>
    </w:p>
    <w:p>
      <w:pPr>
        <w:framePr w:w="7875" w:h="1824" w:hRule="exact" w:vAnchor="page" w:hAnchor="page" w:x="1967" w:y="521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Augenkontakt: Sofort vorsichtig und gründlich mit Augendusche oder mit Wasser spülen. </w:t>
      </w:r>
    </w:p>
    <w:p>
      <w:pPr>
        <w:framePr w:w="7875" w:h="1824" w:hRule="exact" w:vAnchor="page" w:hAnchor="page" w:x="1967" w:y="521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Nach Verschlucken: Sofort Mund ausspülen und reichlich Wasser nachtrinken.</w:t>
      </w:r>
    </w:p>
    <w:p>
      <w:pPr>
        <w:framePr w:w="7875" w:h="1824" w:hRule="exact" w:vAnchor="page" w:hAnchor="page" w:x="1967" w:y="521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KEIN Erbrechen herbeiführen.</w:t>
      </w:r>
    </w:p>
    <w:p>
      <w:pPr>
        <w:framePr w:w="10195" w:h="331" w:hRule="exact" w:vAnchor="page" w:hAnchor="page" w:x="755" w:y="481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rect id="Rect 43" style="position:absolute;width:48.3pt;height:48.3pt;z-index:0;mso-wrap-distance-left:9pt;mso-wrap-distance-top:0pt;mso-wrap-distance-right:9pt;mso-wrap-distance-bottom:0pt;margin-left:40.75pt;margin-top:260.65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ERSTE HILFE</w:t>
      </w:r>
    </w:p>
    <w:p>
      <w:pPr>
        <w:framePr w:w="1099" w:h="466" w:hRule="exact" w:vAnchor="page" w:hAnchor="page" w:x="816" w:y="6240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19"/>
          <w:szCs w:val="19"/>
        </w:rPr>
        <w:t>Arzt:</w:t>
      </w:r>
    </w:p>
    <w:p>
      <w:pPr>
        <w:framePr w:w="1099" w:h="466" w:hRule="exact" w:vAnchor="page" w:hAnchor="page" w:x="816" w:y="6240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112</w:t>
      </w:r>
    </w:p>
    <w:p>
      <w:pPr>
        <w:framePr w:w="10196" w:h="1140" w:hRule="exact" w:vAnchor="page" w:hAnchor="page" w:x="816" w:y="74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Entsorgungsverfahren: Entsorgung gemäß den behördlichen Vorschriften. </w:t>
      </w:r>
    </w:p>
    <w:p>
      <w:pPr>
        <w:framePr w:w="10196" w:h="1140" w:hRule="exact" w:vAnchor="page" w:hAnchor="page" w:x="816" w:y="74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Übergabe an zugelassenes Entsorgungsunternehmen. </w:t>
      </w:r>
    </w:p>
    <w:p>
      <w:pPr>
        <w:framePr w:w="10196" w:h="1140" w:hRule="exact" w:vAnchor="page" w:hAnchor="page" w:x="816" w:y="74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</w:p>
    <w:p>
      <w:pPr>
        <w:framePr w:w="10196" w:h="1140" w:hRule="exact" w:vAnchor="page" w:hAnchor="page" w:x="816" w:y="74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Verpackung: Nicht kontaminierte und restentleerte Verpackungen können einer Wiederverwertung zugeführt werden.</w:t>
      </w:r>
    </w:p>
    <w:p>
      <w:pPr>
        <w:framePr w:w="10195" w:h="331" w:hRule="exact" w:vAnchor="page" w:hAnchor="page" w:x="756" w:y="70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SACHGERECHTE ENTSORGUNG</w:t>
      </w:r>
    </w:p>
    <w:p>
      <w:pPr>
        <w:framePr w:w="2672" w:h="238" w:hRule="exact" w:vAnchor="page" w:hAnchor="page" w:x="816" w:y="154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Stand: 20.01.2022</w:t>
      </w:r>
    </w:p>
    <w:p>
      <w:pPr>
        <w:framePr w:w="969" w:h="251" w:hRule="exact" w:vAnchor="page" w:hAnchor="page" w:x="10442" w:y="15755"/>
        <w:tabs>
          <w:tab w:val="left" w:pos="360" w:leader="none"/>
          <w:tab w:val="left" w:pos="720" w:leader="none"/>
        </w:tabs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2/2</w:t>
      </w:r>
    </w:p>
    <w:p>
      <w:pPr>
        <w:framePr w:w="2199" w:h="236" w:hRule="exact" w:vAnchor="page" w:hAnchor="page" w:x="3644" w:y="154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Nr.: BA_G457</w:t>
      </w:r>
    </w:p>
    <w:p>
      <w:pPr>
        <w:framePr w:w="627" w:h="185" w:hRule="exact" w:vAnchor="page" w:hAnchor="page" w:x="5398" w:y="15867"/>
        <w:tabs>
          <w:tab w:val="left" w:pos="36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5"/>
          <w:szCs w:val="15"/>
        </w:rPr>
        <w:t>DE</w:t>
      </w:r>
    </w:p>
    <w:p>
      <w:pPr>
        <w:framePr w:w="1294" w:h="238" w:hRule="exact" w:vAnchor="page" w:hAnchor="page" w:x="5931" w:y="15420"/>
        <w:tabs>
          <w:tab w:val="left" w:pos="360" w:leader="none"/>
          <w:tab w:val="left" w:pos="720" w:leader="none"/>
          <w:tab w:val="left" w:pos="1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Datum:</w:t>
      </w:r>
    </w:p>
    <w:p>
      <w:pPr>
        <w:framePr w:w="1643" w:h="238" w:hRule="exact" w:vAnchor="page" w:hAnchor="page" w:x="7813" w:y="15421"/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Unterschrift:</w:t>
      </w:r>
    </w:p>
    <w:p>
      <w:pPr>
        <w:rPr>
          <w:rFonts w:ascii="Arial" w:hAnsi="Arial" w:cs="Arial"/>
        </w:rPr>
      </w:pPr>
    </w:p>
    <w:sectPr>
      <w:type w:val="continuous"/>
      <w:pgSz w:w="11904" w:h="16834" w:code="0"/>
      <w:pgMar w:left="181" w:right="363" w:top="709" w:bottom="737" w:header="708" w:footer="708" w:gutter="0"/>
      <w:noEndnote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oNotShadeFormData/>
  <w:defaultTabStop w:val="720"/>
  <w:autoHyphenation w:val="0"/>
  <w:evenAndOddHeaders w:val="0"/>
  <w:compat>
    <w:alignTablesRowByRow/>
    <w:doNotExpandShiftReturn/>
    <w:splitPgBreakAndParaMark/>
    <w:growAutofit/>
    <w:underlineTabInNumList/>
    <w:doNotBreakWrappedTables/>
    <w:doNotVertAlignCellWithSp/>
    <w:footnoteLayoutLikeWW8/>
    <w:shapeLayoutLikeWW8/>
    <w:balanceSingleByteDoubleByteWidth/>
    <w:useWord2002TableStyleRules/>
    <w:compatSetting w:name="compatibilityMode" w:uri="http://schemas.microsoft.com/office/word" w:val="1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4"/>
        <w:szCs w:val="24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emf" /><Relationship Id="Relimage2" Type="http://schemas.openxmlformats.org/officeDocument/2006/relationships/image" Target="/media/image2.emf" /><Relationship Id="Relimage3" Type="http://schemas.openxmlformats.org/officeDocument/2006/relationships/image" Target="/media/image3.emf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API/21.2.5.0</Application>
  <AppVersion>21.2</AppVersion>
  <Company>BUZIL-WERK Wagner GmbH &amp; Co. KG</Company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BUZIL-WERK Wagner GmbH &amp; Co. KG</dc:creator>
  <dcterms:created xsi:type="dcterms:W3CDTF">2022-06-01T17:00:08Z</dcterms:created>
  <dcterms:modified xsi:type="dcterms:W3CDTF">2022-06-01T17:00:09Z</dcterms:modified>
  <cp:revision>2</cp:revision>
</cp:coreProperties>
</file>