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emf" ContentType="application/x-msmetafil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rect id="Rect 1" style="position:absolute;width:17pt;height:769.4pt;z-index:0;mso-wrap-distance-left:9pt;mso-wrap-distance-top:0pt;mso-wrap-distance-right:9pt;mso-wrap-distance-bottom:0pt;margin-left:556.2pt;margin-top:35.4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2" style="position:absolute;width:17pt;height:769.4pt;z-index:0;mso-wrap-distance-left:9pt;mso-wrap-distance-top:0pt;mso-wrap-distance-right:9pt;mso-wrap-distance-bottom:0pt;margin-left:18.25pt;margin-top:35.4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3" style="position:absolute;width:544.15pt;height:17pt;z-index:0;mso-wrap-distance-left:9pt;mso-wrap-distance-top:0pt;mso-wrap-distance-right:9pt;mso-wrap-distance-bottom:0pt;margin-left:28.9pt;margin-top:35.4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4" style="position:absolute;width:537.3pt;height:17pt;z-index:0;mso-wrap-distance-left:9pt;mso-wrap-distance-top:0pt;mso-wrap-distance-right:9pt;mso-wrap-distance-bottom:0pt;margin-left:28.55pt;margin-top:104.0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5" style="position:absolute;width:537.3pt;height:16.75pt;z-index:0;mso-wrap-distance-left:9pt;mso-wrap-distance-top:0pt;mso-wrap-distance-right:9pt;mso-wrap-distance-bottom:0pt;margin-left:27.05pt;margin-top:158.2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6" style="position:absolute;width:537.3pt;height:17pt;z-index:0;mso-wrap-distance-left:9pt;mso-wrap-distance-top:0pt;mso-wrap-distance-right:9pt;mso-wrap-distance-bottom:0pt;margin-left:27.8pt;margin-top:349.0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7" style="position:absolute;width:537.3pt;height:17pt;z-index:0;mso-wrap-distance-left:9pt;mso-wrap-distance-top:0pt;mso-wrap-distance-right:9pt;mso-wrap-distance-bottom:0pt;margin-left:30.05pt;margin-top:679.6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8" style="position:absolute;width:536.8pt;height:17.25pt;z-index:0;mso-wrap-distance-left:9pt;mso-wrap-distance-top:0pt;mso-wrap-distance-right:9pt;mso-wrap-distance-bottom:0pt;margin-left:19.4pt;margin-top:787.6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line id="Line 9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28.05pt,52.45pt" to="228.05pt,97.35pt"/>
        </w:pict>
      </w:r>
      <w:r>
        <w:rPr>
          <w:rFonts w:ascii="Arial" w:hAnsi="Arial" w:cs="Arial"/>
        </w:rPr>
        <w:pict>
          <v:line id="Line 10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87.8pt,52.45pt" to="387.8pt,97.35pt"/>
        </w:pict>
      </w:r>
      <w:r>
        <w:rPr>
          <w:rFonts w:ascii="Arial" w:hAnsi="Arial" w:cs="Arial"/>
        </w:rPr>
        <w:pict>
          <v:line id="Line 11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97.15pt" to="556.25pt,97.15pt"/>
        </w:pict>
      </w:r>
      <w:r>
        <w:rPr>
          <w:rFonts w:ascii="Arial" w:hAnsi="Arial" w:cs="Arial"/>
        </w:rPr>
        <w:pict>
          <v:line id="Line 12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177.2pt,770.5pt" to="177.2pt,787.65pt"/>
        </w:pict>
      </w:r>
      <w:r>
        <w:rPr>
          <w:rFonts w:ascii="Arial" w:hAnsi="Arial" w:cs="Arial"/>
        </w:rPr>
        <w:pict>
          <v:line id="Line 13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769.95pt" to="556.9pt,769.95pt"/>
        </w:pict>
      </w:r>
      <w:r>
        <w:rPr>
          <w:rFonts w:ascii="Arial" w:hAnsi="Arial" w:cs="Arial"/>
        </w:rPr>
        <w:pict>
          <v:line id="Line 14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91.2pt,770.5pt" to="291.2pt,787.65pt"/>
        </w:pict>
      </w:r>
      <w:r>
        <w:rPr>
          <w:rFonts w:ascii="Arial" w:hAnsi="Arial" w:cs="Arial"/>
        </w:rPr>
        <w:pict>
          <v:shapetype xmlns:o="urn:schemas-microsoft-com:office:offic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xmlns:o="urn:schemas-microsoft-com:office:office" id="Picture 15" o:spid="_x0000_s1040" type="#_x0000_t75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o:preferrelative="f" filled="f" stroked="f">
            <v:imagedata xmlns:r="http://schemas.openxmlformats.org/officeDocument/2006/relationships" r:id="Relimage1" o:title=""/>
          </v:shape>
        </w:pict>
      </w:r>
      <w:r>
        <w:rPr>
          <w:rFonts w:ascii="Arial" w:hAnsi="Arial" w:cs="Arial"/>
          <w:color w:val="000000"/>
          <w:sz w:val="19"/>
          <w:szCs w:val="19"/>
        </w:rPr>
        <w:t>BUZIL-WERK Wagner GmbH &amp; Co. KG</w:t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5"/>
          <w:szCs w:val="25"/>
        </w:rPr>
        <w:t>Betriebsanweisung</w:t>
      </w: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gem. § 14 GefStoffV</w:t>
      </w:r>
    </w:p>
    <w:p>
      <w:pPr>
        <w:framePr w:w="10195" w:h="283" w:hRule="exact" w:vAnchor="page" w:hAnchor="page" w:x="816" w:y="2535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3"/>
          <w:szCs w:val="23"/>
        </w:rPr>
        <w:t>RESO CLEAN</w:t>
      </w:r>
    </w:p>
    <w:p>
      <w:pPr>
        <w:framePr w:w="10255" w:h="331" w:hRule="exact" w:vAnchor="page" w:hAnchor="page" w:x="756" w:y="20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GEFAHRSTOFFBEZEICHNUNG</w:t>
      </w:r>
    </w:p>
    <w:p>
      <w:pPr>
        <w:framePr w:w="10196" w:h="228" w:hRule="exact" w:vAnchor="page" w:hAnchor="page" w:x="816" w:y="28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 515</w:t>
      </w:r>
    </w:p>
    <w:p>
      <w:pPr>
        <w:framePr w:w="10195" w:h="331" w:hRule="exact" w:vAnchor="page" w:hAnchor="page" w:x="755" w:y="316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GEFAHREN FÜR MENSCH UND UMWELT</w:t>
      </w:r>
    </w:p>
    <w:p>
      <w:pPr>
        <w:framePr w:w="9113" w:h="2964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</w:rPr>
        <w:pict>
          <v:rect id="Rect 16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17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18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19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20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21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  <w:color w:val="000000"/>
          <w:sz w:val="19"/>
          <w:szCs w:val="19"/>
        </w:rPr>
        <w:t>Sicherheitsdatenblatt auf Anfrage erhältlich.</w:t>
      </w:r>
    </w:p>
    <w:p>
      <w:pPr>
        <w:framePr w:w="9113" w:h="2964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Die Stoffe im Gemisch erfüllen nicht die PBT/vPvB Kriterien gemäß REACH, Anhang XIII. </w:t>
      </w:r>
    </w:p>
    <w:p>
      <w:pPr>
        <w:framePr w:w="9113" w:h="2964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Einatmen von Staub/Nebel oder Aerosol verursacht Reizung der Atemwege. </w:t>
      </w:r>
    </w:p>
    <w:p>
      <w:pPr>
        <w:framePr w:w="9113" w:h="2964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</w:p>
    <w:p>
      <w:pPr>
        <w:framePr w:w="9113" w:h="2964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</w:p>
    <w:p>
      <w:pPr>
        <w:framePr w:w="9113" w:h="2964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</w:p>
    <w:p>
      <w:pPr>
        <w:framePr w:w="9113" w:h="2964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Wassergefährdungsklasse: schwach wassergefährdend</w:t>
      </w:r>
    </w:p>
    <w:p>
      <w:pPr>
        <w:framePr w:w="9113" w:h="2964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Reaktivität: Bei bestimmungsgemäßer Handhabung und Lagerung treten keine gefährlichen Reaktionen auf.</w:t>
      </w:r>
    </w:p>
    <w:p>
      <w:pPr>
        <w:framePr w:w="9113" w:h="2964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Chemische Stabilität: Das Produkt ist bei Lagerung bei normalen Umgebungstemperaturen stabil.</w:t>
      </w:r>
    </w:p>
    <w:p>
      <w:pPr>
        <w:framePr w:w="9113" w:h="2964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Unverträgliche Materialien: Es liegen keine Informationen vor.</w:t>
      </w:r>
    </w:p>
    <w:p>
      <w:pPr>
        <w:framePr w:w="9113" w:h="2964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</w:p>
    <w:p>
      <w:pPr>
        <w:framePr w:w="9113" w:h="2964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Gefährliche Zersetzungsprodukte: Es sind keine gefährlichen Zersetzungsprodukte bekannt.</w:t>
      </w:r>
    </w:p>
    <w:p>
      <w:pPr>
        <w:framePr w:w="7860" w:h="6156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</w:rPr>
        <w:pict>
          <v:rect id="Rect 22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23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24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25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26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</w:pict>
      </w:r>
    </w:p>
    <w:p>
      <w:pPr>
        <w:framePr w:w="7860" w:h="6156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Hinweise zur allgemeinen Industriehygiene: Kontaminierte Kleidung ausziehen. </w:t>
      </w:r>
    </w:p>
    <w:p>
      <w:pPr>
        <w:framePr w:w="7860" w:h="6156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Vor den Pausen und bei Arbeitsende Hände waschen. </w:t>
      </w:r>
    </w:p>
    <w:p>
      <w:pPr>
        <w:framePr w:w="7860" w:h="6156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Bei der Arbeit nicht essen, trinken, rauchen. </w:t>
      </w:r>
    </w:p>
    <w:p>
      <w:pPr>
        <w:framePr w:w="7860" w:h="6156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Hinweise zum sicheren Umgang: Kontakt mit Haut, Augen und Kleidung vermeiden. </w:t>
      </w:r>
    </w:p>
    <w:p>
      <w:pPr>
        <w:framePr w:w="7860" w:h="6156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mischen mit anderen Chemikalien. </w:t>
      </w:r>
    </w:p>
    <w:p>
      <w:pPr>
        <w:framePr w:w="7860" w:h="6156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Persönliche Schutzausrüstung verwenden. </w:t>
      </w:r>
    </w:p>
    <w:p>
      <w:pPr>
        <w:framePr w:w="7860" w:h="6156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Bei der Arbeit nicht essen, trinken, rauchen. </w:t>
      </w:r>
    </w:p>
    <w:p>
      <w:pPr>
        <w:framePr w:w="7860" w:h="6156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Gas/Rauch/Dampf/Aerosol nicht einatmen. </w:t>
      </w:r>
    </w:p>
    <w:p>
      <w:pPr>
        <w:framePr w:w="7860" w:h="6156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Nur in gut gelüfteten Bereichen verwenden. </w:t>
      </w:r>
    </w:p>
    <w:p>
      <w:pPr>
        <w:framePr w:w="7860" w:h="6156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60" w:h="6156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Zusammenlagerungshinweise: Keine besonderen Vorsichtsmaßnahmen erforderlich.</w:t>
      </w:r>
    </w:p>
    <w:p>
      <w:pPr>
        <w:framePr w:w="7860" w:h="6156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Spezifische Endanwendungen: Es sind keine Daten für die Mischung verfügbar. </w:t>
      </w:r>
    </w:p>
    <w:p>
      <w:pPr>
        <w:framePr w:w="7860" w:h="6156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Atemschutz: Bei Anwendung im HD-Verfahren oder großflächigem Versprühen: Kombinationsfilter A1/P2 (EN 143, EN 14387). </w:t>
      </w:r>
    </w:p>
    <w:p>
      <w:pPr>
        <w:framePr w:w="7860" w:h="6156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Nur in gut gelüfteten Bereichen verwenden. </w:t>
      </w:r>
    </w:p>
    <w:p>
      <w:pPr>
        <w:framePr w:w="7860" w:h="6156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Bei unzureichender Belüftung Atemschutz tragen. (EN 14387, A1)</w:t>
      </w:r>
    </w:p>
    <w:p>
      <w:pPr>
        <w:framePr w:w="7860" w:h="6156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60" w:h="6156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Handschutz: Benutzung von Schutzhandschuhen: </w:t>
      </w:r>
    </w:p>
    <w:p>
      <w:pPr>
        <w:framePr w:w="7860" w:h="6156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Eine Liste geeigneter Fabrikate mit detaillierten Angaben zur Tragedauer ist auf Anfrage erhältlich. </w:t>
      </w:r>
    </w:p>
    <w:p>
      <w:pPr>
        <w:framePr w:w="7860" w:h="6156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Auf Schutzhandschuhe kann verzichtet werden, sofern gleichwertige Schutzmaßnahmen unter Berücksichtigung einer erhöhten Hautbelastung infolge Feuchtarbeit getroffen werden (z. B. Verwendung geeigneter Hautschutzsalben). </w:t>
      </w:r>
    </w:p>
    <w:p>
      <w:pPr>
        <w:framePr w:w="7860" w:h="6156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Geeigneter Augenschutz: Augenschutz: nicht erforderlich. </w:t>
      </w:r>
    </w:p>
    <w:p>
      <w:pPr>
        <w:framePr w:w="7860" w:h="6156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Körperschutz: Geeignete Arbeitskleidung tragen.</w:t>
      </w:r>
    </w:p>
    <w:p>
      <w:pPr>
        <w:framePr w:w="7860" w:h="6156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10195" w:h="331" w:hRule="exact" w:vAnchor="page" w:hAnchor="page" w:x="756" w:y="69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rect id="Rect 27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SCHUTZMASSNAHMEN UND VERHALTENSREGELN</w:t>
      </w:r>
    </w:p>
    <w:p>
      <w:pPr>
        <w:framePr w:w="7875" w:h="1140" w:hRule="exact" w:vAnchor="page" w:hAnchor="page" w:x="1967" w:y="1398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 Löschmittel: Wassersprühstrahl</w:t>
      </w:r>
    </w:p>
    <w:p>
      <w:pPr>
        <w:framePr w:w="7875" w:h="1140" w:hRule="exact" w:vAnchor="page" w:hAnchor="page" w:x="1967" w:y="1398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alkoholbeständiger Schaum</w:t>
      </w:r>
    </w:p>
    <w:p>
      <w:pPr>
        <w:framePr w:w="7875" w:h="1140" w:hRule="exact" w:vAnchor="page" w:hAnchor="page" w:x="1967" w:y="1398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Kohlendioxid</w:t>
      </w:r>
    </w:p>
    <w:p>
      <w:pPr>
        <w:framePr w:w="7875" w:h="1140" w:hRule="exact" w:vAnchor="page" w:hAnchor="page" w:x="1967" w:y="1398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Löschpulver </w:t>
      </w:r>
    </w:p>
    <w:p>
      <w:pPr>
        <w:framePr w:w="7875" w:h="1140" w:hRule="exact" w:vAnchor="page" w:hAnchor="page" w:x="1967" w:y="1398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Ungeeignete Löschmittel: Wasservollstrahl </w:t>
      </w:r>
    </w:p>
    <w:p>
      <w:pPr>
        <w:framePr w:w="7875" w:h="1140" w:hRule="exact" w:vAnchor="page" w:hAnchor="page" w:x="1967" w:y="1398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10195" w:h="331" w:hRule="exact" w:vAnchor="page" w:hAnchor="page" w:x="755" w:y="1359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rect id="Rect 28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VERHALTEN IM GEFAHRFALL</w:t>
      </w:r>
    </w:p>
    <w:p>
      <w:pPr>
        <w:framePr w:w="1099" w:h="932" w:hRule="exact" w:vAnchor="page" w:hAnchor="page" w:x="816" w:y="13990"/>
        <w:tabs>
          <w:tab w:val="left" w:pos="360" w:leader="none"/>
          <w:tab w:val="left" w:pos="720" w:leader="none"/>
          <w:tab w:val="left" w:pos="1080" w:leader="none"/>
        </w:tabs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19"/>
          <w:szCs w:val="19"/>
        </w:rPr>
        <w:t>Feuerwehr:</w:t>
      </w:r>
    </w:p>
    <w:p>
      <w:pPr>
        <w:framePr w:w="1099" w:h="932" w:hRule="exact" w:vAnchor="page" w:hAnchor="page" w:x="816" w:y="13990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112</w:t>
      </w:r>
    </w:p>
    <w:p>
      <w:pPr>
        <w:framePr w:w="2672" w:h="238" w:hRule="exact" w:vAnchor="page" w:hAnchor="page" w:x="816" w:y="154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Stand: 23.12.2021</w:t>
      </w:r>
    </w:p>
    <w:p>
      <w:pPr>
        <w:framePr w:w="969" w:h="251" w:hRule="exact" w:vAnchor="page" w:hAnchor="page" w:x="10442" w:y="15755"/>
        <w:tabs>
          <w:tab w:val="left" w:pos="360" w:leader="none"/>
          <w:tab w:val="left" w:pos="720" w:leader="none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1/2</w:t>
      </w:r>
    </w:p>
    <w:p>
      <w:pPr>
        <w:framePr w:w="2199" w:h="236" w:hRule="exact" w:vAnchor="page" w:hAnchor="page" w:x="3644" w:y="154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Nr.: BA_G515</w:t>
      </w:r>
    </w:p>
    <w:p>
      <w:pPr>
        <w:framePr w:w="627" w:h="185" w:hRule="exact" w:vAnchor="page" w:hAnchor="page" w:x="5398" w:y="15867"/>
        <w:tabs>
          <w:tab w:val="left" w:pos="36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5"/>
          <w:szCs w:val="15"/>
        </w:rPr>
        <w:t>DE</w:t>
      </w:r>
    </w:p>
    <w:p>
      <w:pPr>
        <w:rPr>
          <w:rFonts w:ascii="Arial" w:hAnsi="Arial" w:cs="Arial"/>
        </w:rPr>
        <w:sectPr>
          <w:type w:val="continuous"/>
          <w:pgSz w:w="11904" w:h="16834" w:code="0"/>
          <w:pgMar w:left="181" w:right="363" w:top="709" w:bottom="737" w:header="708" w:footer="708" w:gutter="0"/>
          <w:noEndnote/>
        </w:sectPr>
      </w:pPr>
      <w:r>
        <w:rPr>
          <w:rFonts w:ascii="Arial" w:hAnsi="Arial" w:cs="Arial"/>
        </w:rPr>
        <w:br w:type="page"/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rect id="Rect 29" style="position:absolute;width:17pt;height:769.4pt;z-index:0;mso-wrap-distance-left:9pt;mso-wrap-distance-top:0pt;mso-wrap-distance-right:9pt;mso-wrap-distance-bottom:0pt;margin-left:556.2pt;margin-top:35.4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30" style="position:absolute;width:17pt;height:769.4pt;z-index:0;mso-wrap-distance-left:9pt;mso-wrap-distance-top:0pt;mso-wrap-distance-right:9pt;mso-wrap-distance-bottom:0pt;margin-left:18.25pt;margin-top:35.4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31" style="position:absolute;width:544.15pt;height:17pt;z-index:0;mso-wrap-distance-left:9pt;mso-wrap-distance-top:0pt;mso-wrap-distance-right:9pt;mso-wrap-distance-bottom:0pt;margin-left:28.9pt;margin-top:35.4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32" style="position:absolute;width:524.05pt;height:16.75pt;z-index:0;mso-wrap-distance-left:9pt;mso-wrap-distance-top:0pt;mso-wrap-distance-right:9pt;mso-wrap-distance-bottom:0pt;margin-left:32.15pt;margin-top:229.3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33" style="position:absolute;width:537.3pt;height:17pt;z-index:0;mso-wrap-distance-left:9pt;mso-wrap-distance-top:0pt;mso-wrap-distance-right:9pt;mso-wrap-distance-bottom:0pt;margin-left:28.55pt;margin-top:332.0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34" style="position:absolute;width:536.8pt;height:17.25pt;z-index:0;mso-wrap-distance-left:9pt;mso-wrap-distance-top:0pt;mso-wrap-distance-right:9pt;mso-wrap-distance-bottom:0pt;margin-left:19.4pt;margin-top:787.6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line id="Line 35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28.05pt,52.45pt" to="228.05pt,97.35pt"/>
        </w:pict>
      </w:r>
      <w:r>
        <w:rPr>
          <w:rFonts w:ascii="Arial" w:hAnsi="Arial" w:cs="Arial"/>
        </w:rPr>
        <w:pict>
          <v:line id="Line 36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87.8pt,52.45pt" to="387.8pt,97.35pt"/>
        </w:pict>
      </w:r>
      <w:r>
        <w:rPr>
          <w:rFonts w:ascii="Arial" w:hAnsi="Arial" w:cs="Arial"/>
        </w:rPr>
        <w:pict>
          <v:line id="Line 37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97.15pt" to="556.25pt,97.15pt"/>
        </w:pict>
      </w:r>
      <w:r>
        <w:rPr>
          <w:rFonts w:ascii="Arial" w:hAnsi="Arial" w:cs="Arial"/>
        </w:rPr>
        <w:pict>
          <v:line id="Line 38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177.2pt,770.5pt" to="177.2pt,787.65pt"/>
        </w:pict>
      </w:r>
      <w:r>
        <w:rPr>
          <w:rFonts w:ascii="Arial" w:hAnsi="Arial" w:cs="Arial"/>
        </w:rPr>
        <w:pict>
          <v:line id="Line 39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769.95pt" to="556.9pt,769.95pt"/>
        </w:pict>
      </w:r>
      <w:r>
        <w:rPr>
          <w:rFonts w:ascii="Arial" w:hAnsi="Arial" w:cs="Arial"/>
        </w:rPr>
        <w:pict>
          <v:line id="Line 40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91.2pt,770.5pt" to="291.2pt,787.65pt"/>
        </w:pict>
      </w:r>
      <w:r>
        <w:rPr>
          <w:rFonts w:ascii="Arial" w:hAnsi="Arial" w:cs="Arial"/>
        </w:rPr>
        <w:pict>
          <v:shape xmlns:o="urn:schemas-microsoft-com:office:office" id="Picture 41" o:spid="_x0000_s1066" type="#_x0000_t75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o:preferrelative="f" filled="f" stroked="f">
            <v:imagedata xmlns:r="http://schemas.openxmlformats.org/officeDocument/2006/relationships" r:id="Relimage1" o:title=""/>
          </v:shape>
        </w:pict>
      </w:r>
      <w:r>
        <w:rPr>
          <w:rFonts w:ascii="Arial" w:hAnsi="Arial" w:cs="Arial"/>
          <w:color w:val="000000"/>
          <w:sz w:val="19"/>
          <w:szCs w:val="19"/>
        </w:rPr>
        <w:t>BUZIL-WERK Wagner GmbH &amp; Co. KG</w:t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5"/>
          <w:szCs w:val="25"/>
        </w:rPr>
        <w:t>Betriebsanweisung</w:t>
      </w: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gem. § 14 GefStoffV</w:t>
      </w:r>
    </w:p>
    <w:p>
      <w:pPr>
        <w:framePr w:w="7875" w:h="2508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Kontaminiertes Löschwasser getrennt sammeln. Nicht in die Kanalisation oder Gewässer gelangen lassen. </w:t>
      </w:r>
    </w:p>
    <w:p>
      <w:pPr>
        <w:framePr w:w="7875" w:h="2508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Maßnahmen bei unbeabsichtigter Freisetzung:</w:t>
      </w:r>
    </w:p>
    <w:p>
      <w:pPr>
        <w:framePr w:w="7875" w:h="2508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Persönliche Schutzausrüstung verwenden. </w:t>
      </w:r>
    </w:p>
    <w:p>
      <w:pPr>
        <w:framePr w:w="7875" w:h="2508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Kontakt mit Haut, Augen und Kleidung vermeiden. </w:t>
      </w:r>
    </w:p>
    <w:p>
      <w:pPr>
        <w:framePr w:w="7875" w:h="2508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in die Kanalisation oder Gewässer gelangen lassen. </w:t>
      </w:r>
    </w:p>
    <w:p>
      <w:pPr>
        <w:framePr w:w="7875" w:h="2508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in den Untergrund/Erdreich gelangen lassen. </w:t>
      </w:r>
    </w:p>
    <w:p>
      <w:pPr>
        <w:framePr w:w="7875" w:h="2508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75" w:h="2508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Mit flüssigkeitsbindendem Material (Sand, Kieselgur, Säurebinder, Universalbinder) aufnehmen. </w:t>
      </w:r>
    </w:p>
    <w:p>
      <w:pPr>
        <w:framePr w:w="7875" w:h="2508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Das aufgenommene Material gemäß Abschnitt Entsorgung behandeln.</w:t>
      </w:r>
    </w:p>
    <w:p>
      <w:pPr>
        <w:framePr w:w="7875" w:h="1596" w:hRule="exact" w:vAnchor="page" w:hAnchor="page" w:x="1967" w:y="498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</w:rPr>
        <w:pict>
          <v:shape xmlns:o="urn:schemas-microsoft-com:office:office" id="Picture 42" o:spid="_x0000_s1067" type="#_x0000_t75" style="position:absolute;width:48.3pt;height:48.3pt;z-index:0;mso-wrap-distance-left:9pt;mso-wrap-distance-top:0pt;mso-wrap-distance-right:9pt;mso-wrap-distance-bottom:0pt;margin-left:40.75pt;margin-top:249.25pt;mso-position-horizontal:absolute;mso-position-horizontal-relative:page;mso-position-vertical:absolute;mso-position-vertical-relative:page" o:preferrelative="f" filled="f" stroked="f">
            <v:imagedata xmlns:r="http://schemas.openxmlformats.org/officeDocument/2006/relationships" r:id="Relimage2" o:title=""/>
          </v:shape>
        </w:pict>
      </w:r>
      <w:r>
        <w:rPr>
          <w:rFonts w:ascii="Arial" w:hAnsi="Arial" w:cs="Arial"/>
          <w:color w:val="000000"/>
          <w:sz w:val="19"/>
          <w:szCs w:val="19"/>
        </w:rPr>
        <w:t xml:space="preserve">Nach Einatmen: Für Frischluft sorgen. </w:t>
      </w:r>
    </w:p>
    <w:p>
      <w:pPr>
        <w:framePr w:w="7875" w:h="1596" w:hRule="exact" w:vAnchor="page" w:hAnchor="page" w:x="1967" w:y="498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Hautkontakt: Kontaminierte Kleidung ausziehen und vor erneutem Tragen waschen. </w:t>
      </w:r>
    </w:p>
    <w:p>
      <w:pPr>
        <w:framePr w:w="7875" w:h="1596" w:hRule="exact" w:vAnchor="page" w:hAnchor="page" w:x="1967" w:y="498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Augenkontakt: Sofort vorsichtig und gründlich mit Augendusche oder mit Wasser spülen. </w:t>
      </w:r>
    </w:p>
    <w:p>
      <w:pPr>
        <w:framePr w:w="7875" w:h="1596" w:hRule="exact" w:vAnchor="page" w:hAnchor="page" w:x="1967" w:y="498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Nach Verschlucken: Sofort Mund ausspülen und reichlich Wasser nachtrinken.</w:t>
      </w:r>
    </w:p>
    <w:p>
      <w:pPr>
        <w:framePr w:w="7875" w:h="1596" w:hRule="exact" w:vAnchor="page" w:hAnchor="page" w:x="1967" w:y="498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KEIN Erbrechen herbeiführen.</w:t>
      </w:r>
    </w:p>
    <w:p>
      <w:pPr>
        <w:framePr w:w="10195" w:h="331" w:hRule="exact" w:vAnchor="page" w:hAnchor="page" w:x="755" w:y="458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rect id="Rect 43" style="position:absolute;width:48.3pt;height:48.3pt;z-index:0;mso-wrap-distance-left:9pt;mso-wrap-distance-top:0pt;mso-wrap-distance-right:9pt;mso-wrap-distance-bottom:0pt;margin-left:40.75pt;margin-top:249.25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ERSTE HILFE</w:t>
      </w:r>
    </w:p>
    <w:p>
      <w:pPr>
        <w:framePr w:w="1099" w:h="466" w:hRule="exact" w:vAnchor="page" w:hAnchor="page" w:x="816" w:y="6012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19"/>
          <w:szCs w:val="19"/>
        </w:rPr>
        <w:t>Arzt:</w:t>
      </w:r>
    </w:p>
    <w:p>
      <w:pPr>
        <w:framePr w:w="1099" w:h="466" w:hRule="exact" w:vAnchor="page" w:hAnchor="page" w:x="816" w:y="6012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112</w:t>
      </w:r>
    </w:p>
    <w:p>
      <w:pPr>
        <w:framePr w:w="10196" w:h="1140" w:hRule="exact" w:vAnchor="page" w:hAnchor="page" w:x="816" w:y="703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Entsorgungsverfahren: Entsorgung gemäß den behördlichen Vorschriften. </w:t>
      </w:r>
    </w:p>
    <w:p>
      <w:pPr>
        <w:framePr w:w="10196" w:h="1140" w:hRule="exact" w:vAnchor="page" w:hAnchor="page" w:x="816" w:y="703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Übergabe an zugelassenes Entsorgungsunternehmen. </w:t>
      </w:r>
    </w:p>
    <w:p>
      <w:pPr>
        <w:framePr w:w="10196" w:h="1140" w:hRule="exact" w:vAnchor="page" w:hAnchor="page" w:x="816" w:y="703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</w:p>
    <w:p>
      <w:pPr>
        <w:framePr w:w="10196" w:h="1140" w:hRule="exact" w:vAnchor="page" w:hAnchor="page" w:x="816" w:y="703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Verpackung: Nicht kontaminierte und restentleerte Verpackungen können einer Wiederverwertung zugeführt werden.</w:t>
      </w:r>
    </w:p>
    <w:p>
      <w:pPr>
        <w:framePr w:w="10195" w:h="331" w:hRule="exact" w:vAnchor="page" w:hAnchor="page" w:x="756" w:y="663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SACHGERECHTE ENTSORGUNG</w:t>
      </w:r>
    </w:p>
    <w:p>
      <w:pPr>
        <w:framePr w:w="2672" w:h="238" w:hRule="exact" w:vAnchor="page" w:hAnchor="page" w:x="816" w:y="154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Stand: 23.12.2021</w:t>
      </w:r>
    </w:p>
    <w:p>
      <w:pPr>
        <w:framePr w:w="969" w:h="251" w:hRule="exact" w:vAnchor="page" w:hAnchor="page" w:x="10442" w:y="15755"/>
        <w:tabs>
          <w:tab w:val="left" w:pos="360" w:leader="none"/>
          <w:tab w:val="left" w:pos="720" w:leader="none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2/2</w:t>
      </w:r>
    </w:p>
    <w:p>
      <w:pPr>
        <w:framePr w:w="2199" w:h="236" w:hRule="exact" w:vAnchor="page" w:hAnchor="page" w:x="3644" w:y="154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Nr.: BA_G515</w:t>
      </w:r>
    </w:p>
    <w:p>
      <w:pPr>
        <w:framePr w:w="627" w:h="185" w:hRule="exact" w:vAnchor="page" w:hAnchor="page" w:x="5398" w:y="15867"/>
        <w:tabs>
          <w:tab w:val="left" w:pos="36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5"/>
          <w:szCs w:val="15"/>
        </w:rPr>
        <w:t>DE</w:t>
      </w:r>
    </w:p>
    <w:p>
      <w:pPr>
        <w:framePr w:w="1294" w:h="238" w:hRule="exact" w:vAnchor="page" w:hAnchor="page" w:x="5931" w:y="15420"/>
        <w:tabs>
          <w:tab w:val="left" w:pos="360" w:leader="none"/>
          <w:tab w:val="left" w:pos="720" w:leader="none"/>
          <w:tab w:val="left" w:pos="1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Datum:</w:t>
      </w:r>
    </w:p>
    <w:p>
      <w:pPr>
        <w:framePr w:w="1643" w:h="238" w:hRule="exact" w:vAnchor="page" w:hAnchor="page" w:x="7813" w:y="15421"/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Unterschrift:</w:t>
      </w:r>
    </w:p>
    <w:p>
      <w:pPr>
        <w:rPr>
          <w:rFonts w:ascii="Arial" w:hAnsi="Arial" w:cs="Arial"/>
        </w:rPr>
      </w:pPr>
    </w:p>
    <w:sectPr>
      <w:type w:val="continuous"/>
      <w:pgSz w:w="11904" w:h="16834" w:code="0"/>
      <w:pgMar w:left="181" w:right="363" w:top="709" w:bottom="737" w:header="708" w:footer="708" w:gutter="0"/>
      <w:noEndnote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oNotShadeFormData/>
  <w:defaultTabStop w:val="720"/>
  <w:autoHyphenation w:val="0"/>
  <w:evenAndOddHeaders w:val="0"/>
  <w:compat>
    <w:alignTablesRowByRow/>
    <w:doNotExpandShiftReturn/>
    <w:splitPgBreakAndParaMark/>
    <w:growAutofit/>
    <w:underlineTabInNumList/>
    <w:doNotBreakWrappedTables/>
    <w:doNotVertAlignCellWithSp/>
    <w:footnoteLayoutLikeWW8/>
    <w:shapeLayoutLikeWW8/>
    <w:balanceSingleByteDoubleByteWidth/>
    <w:useWord2002TableStyleRules/>
    <w:compatSetting w:name="compatibilityMode" w:uri="http://schemas.microsoft.com/office/word" w:val="1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4"/>
        <w:szCs w:val="24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emf" /><Relationship Id="Relimage2" Type="http://schemas.openxmlformats.org/officeDocument/2006/relationships/image" Target="/media/image2.emf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API/21.2.5.0</Application>
  <AppVersion>21.2</AppVersion>
  <Company>BUZIL-WERK Wagner GmbH &amp; Co. KG</Company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BUZIL-WERK Wagner GmbH &amp; Co. KG</dc:creator>
  <dcterms:created xsi:type="dcterms:W3CDTF">2022-06-01T17:00:10Z</dcterms:created>
  <dcterms:modified xsi:type="dcterms:W3CDTF">2022-06-01T17:00:10Z</dcterms:modified>
  <cp:revision>2</cp:revision>
</cp:coreProperties>
</file>