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1" style="position:absolute;width:17pt;height:769.4pt;z-index:-43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2" style="position:absolute;width:17pt;height:769.4pt;z-index:-41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" style="position:absolute;width:544.15pt;height:17pt;z-index:-4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4" style="position:absolute;width:537.3pt;height:17pt;z-index:-28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5" style="position:absolute;width:537.3pt;height:16.75pt;z-index:-27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6" style="position:absolute;width:537.3pt;height:17pt;z-index:-26;mso-wrap-distance-left:9pt;mso-wrap-distance-top:0pt;mso-wrap-distance-right:9pt;mso-wrap-distance-bottom:0pt;margin-left:27.8pt;margin-top:326.2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7" style="position:absolute;width:537.3pt;height:17pt;z-index:-25;mso-wrap-distance-left:9pt;mso-wrap-distance-top:0pt;mso-wrap-distance-right:9pt;mso-wrap-distance-bottom:0pt;margin-left:30.05pt;margin-top:656.8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8" style="position:absolute;width:536.8pt;height:17.25pt;z-index:-38;mso-wrap-distance-left:9pt;mso-wrap-distance-top:0pt;mso-wrap-distance-right:9pt;mso-wrap-distance-bottom:0pt;margin-left:19.4pt;margin-top:787.6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line id="Line 9" style="position:absolute;z-index:-37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570230"/>
        </w:pict>
      </w:r>
      <w:r>
        <w:rPr>
          <w:rFonts w:ascii="Arial" w:hAnsi="Arial" w:cs="Arial"/>
        </w:rPr>
        <w:pict>
          <v:line id="Line 10" style="position:absolute;z-index:-36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570230"/>
        </w:pict>
      </w:r>
      <w:r>
        <w:rPr>
          <w:rFonts w:ascii="Arial" w:hAnsi="Arial" w:cs="Arial"/>
        </w:rPr>
        <w:pict>
          <v:line id="Line 11" style="position:absolute;z-index:-35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6616700,0"/>
        </w:pict>
      </w:r>
      <w:r>
        <w:rPr>
          <w:rFonts w:ascii="Arial" w:hAnsi="Arial" w:cs="Arial"/>
        </w:rPr>
        <w:pict>
          <v:line id="Line 12" style="position:absolute;z-index:-34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217805"/>
        </w:pict>
      </w:r>
      <w:r>
        <w:rPr>
          <w:rFonts w:ascii="Arial" w:hAnsi="Arial" w:cs="Arial"/>
        </w:rPr>
        <w:pict>
          <v:line id="Line 13" style="position:absolute;z-index:-33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6624955,0"/>
        </w:pict>
      </w:r>
      <w:r>
        <w:rPr>
          <w:rFonts w:ascii="Arial" w:hAnsi="Arial" w:cs="Arial"/>
        </w:rPr>
        <w:pict>
          <v:line id="Line 14" style="position:absolute;z-index:-32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217805"/>
        </w:pict>
      </w:r>
      <w:r>
        <w:rPr>
          <w:rFonts w:ascii="Arial" w:hAnsi="Arial" w:cs="Arial"/>
        </w:rPr>
        <w:pict>
          <v:shapetype xmlns:o="urn:schemas-microsoft-com:office:offic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xmlns:o="urn:schemas-microsoft-com:office:office" id="Picture 15" o:spid="_x0000_s1040" type="#_x0000_t75" style="position:absolute;width:104.65pt;height:41.15pt;z-index:-31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1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Corridor® Wipe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P 930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</w:rPr>
        <w:pict>
          <v:rect id="Rect 16" style="position:absolute;width:104.65pt;height:41.15pt;z-index:-31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7" style="position:absolute;width:104.65pt;height:41.15pt;z-index:-31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8" style="position:absolute;width:104.65pt;height:41.15pt;z-index:-31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9" style="position:absolute;width:104.65pt;height:41.15pt;z-index:-31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0" style="position:absolute;width:104.65pt;height:41.15pt;z-index:-31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1" style="position:absolute;width:104.65pt;height:41.15pt;z-index:-31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color w:val="000000"/>
          <w:sz w:val="19"/>
          <w:szCs w:val="19"/>
        </w:rPr>
        <w:t>Sicherheitsdatenblatt auf Anfrage erhältlich.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Reaktivität: Bei bestimmungsgemäßer Handhabung und Lagerung treten keine gefährlichen Reaktionen auf.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Unverträgliche Materialien: Es liegen keine Informationen vor.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schwach wassergefährdend</w:t>
      </w:r>
    </w:p>
    <w:p>
      <w:pPr>
        <w:framePr w:w="7860" w:h="615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pict>
          <v:shape xmlns:o="urn:schemas-microsoft-com:office:office" id="Picture 22" o:spid="_x0000_s1047" type="#_x0000_t75" style="position:absolute;width:45.4pt;height:45.3pt;z-index:-42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2" o:title=""/>
          </v:shape>
        </w:pict>
      </w:r>
      <w:r>
        <w:rPr>
          <w:rFonts w:ascii="Arial" w:hAnsi="Arial" w:cs="Arial"/>
        </w:rPr>
        <w:pict>
          <v:rect id="Rect 23" style="position:absolute;width:45.4pt;height:45.3pt;z-index:-42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4" style="position:absolute;width:45.4pt;height:45.3pt;z-index:-42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5" style="position:absolute;width:45.4pt;height:45.3pt;z-index:-42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6" style="position:absolute;width:45.4pt;height:45.3pt;z-index:-42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filled="f" stroked="f"/>
        </w:pict>
      </w:r>
    </w:p>
    <w:p>
      <w:pPr>
        <w:framePr w:w="7860" w:h="615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zur allgemeinen Industriehygiene: Kontaminierte Kleidung ausziehen. </w:t>
      </w:r>
    </w:p>
    <w:p>
      <w:pPr>
        <w:framePr w:w="7860" w:h="615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Vor den Pausen und bei Arbeitsende Hände waschen. </w:t>
      </w:r>
    </w:p>
    <w:p>
      <w:pPr>
        <w:framePr w:w="7860" w:h="615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615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zum sicheren Umgang: Kontakt mit Haut, Augen und Kleidung vermeiden. </w:t>
      </w:r>
    </w:p>
    <w:p>
      <w:pPr>
        <w:framePr w:w="7860" w:h="615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615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615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615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615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615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Spezifische Endanwendungen: Reinigungs- und Pflegeprodukt </w:t>
      </w:r>
    </w:p>
    <w:p>
      <w:pPr>
        <w:framePr w:w="7860" w:h="615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Geeignete technische Steuerungseinrichtungen: Es liegen keine Informationen vor. </w:t>
      </w:r>
    </w:p>
    <w:p>
      <w:pPr>
        <w:framePr w:w="7860" w:h="615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Normalerweise kein persönlicher Atemschutz notwendig. </w:t>
      </w:r>
    </w:p>
    <w:p>
      <w:pPr>
        <w:framePr w:w="7860" w:h="615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615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Benutzung von Schutzhandschuhen: </w:t>
      </w:r>
    </w:p>
    <w:p>
      <w:pPr>
        <w:framePr w:w="7860" w:h="615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</w:t>
      </w:r>
    </w:p>
    <w:p>
      <w:pPr>
        <w:framePr w:w="7860" w:h="615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Auf Schutzhandschuhe kann verzichtet werden, sofern gleichwertige Schutzmaßnahmen unter Berücksichtigung einer erhöhten Hautbelastung infolge Feuchtarbeit getroffen werden (z. B. Verwendung geeigneter Hautschutzsalben). </w:t>
      </w:r>
    </w:p>
    <w:p>
      <w:pPr>
        <w:framePr w:w="7860" w:h="615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Geeigneter Augenschutz: Augenschutz: nicht erforderlich. </w:t>
      </w:r>
    </w:p>
    <w:p>
      <w:pPr>
        <w:framePr w:w="7860" w:h="615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Körperschutz: Geeignete Arbeitskleidung tragen. </w:t>
      </w:r>
    </w:p>
    <w:p>
      <w:pPr>
        <w:framePr w:w="7860" w:h="615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615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Thermische Gefahren: Keine weiteren relevanten Informationen verfügbar. </w:t>
      </w:r>
    </w:p>
    <w:p>
      <w:pPr>
        <w:framePr w:w="7860" w:h="615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Begrenzung und Überwachung der Umweltexposition: Abschnitt 6: Maßnahmen bei unbeabsichtigter Freisetzung</w:t>
      </w:r>
    </w:p>
    <w:p>
      <w:pPr>
        <w:framePr w:w="7860" w:h="615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5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27" style="position:absolute;width:45.4pt;height:45.3pt;z-index:-42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7875" w:h="1596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1596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1596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1596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1596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1596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1596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5" w:y="1313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28" style="position:absolute;width:45.4pt;height:45.3pt;z-index:-42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1353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13534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2672" w:h="238" w:hRule="exact" w:vAnchor="page" w:hAnchor="page" w:x="816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02.02.2023</w:t>
      </w:r>
    </w:p>
    <w:p>
      <w:pPr>
        <w:framePr w:w="969" w:h="251" w:hRule="exact" w:vAnchor="page" w:hAnchor="page" w:x="10442" w:y="15755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BA_P930</w:t>
      </w:r>
    </w:p>
    <w:p>
      <w:pPr>
        <w:framePr w:w="627" w:h="185" w:hRule="exact" w:vAnchor="page" w:hAnchor="page" w:x="5398" w:y="15867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4" w:h="16834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29" style="position:absolute;width:17pt;height:769.4pt;z-index:-43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0" style="position:absolute;width:17pt;height:769.4pt;z-index:-41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1" style="position:absolute;width:544.15pt;height:17pt;z-index:-4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2" style="position:absolute;width:524.05pt;height:16.75pt;z-index:-39;mso-wrap-distance-left:9pt;mso-wrap-distance-top:0pt;mso-wrap-distance-right:9pt;mso-wrap-distance-bottom:0pt;margin-left:32.15pt;margin-top:252.1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3" style="position:absolute;width:537.3pt;height:17pt;z-index:-30;mso-wrap-distance-left:9pt;mso-wrap-distance-top:0pt;mso-wrap-distance-right:9pt;mso-wrap-distance-bottom:0pt;margin-left:28.55pt;margin-top:366.2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4" style="position:absolute;width:536.8pt;height:17.25pt;z-index:-38;mso-wrap-distance-left:9pt;mso-wrap-distance-top:0pt;mso-wrap-distance-right:9pt;mso-wrap-distance-bottom:0pt;margin-left:19.4pt;margin-top:787.6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line id="Line 35" style="position:absolute;z-index:-37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570230"/>
        </w:pict>
      </w:r>
      <w:r>
        <w:rPr>
          <w:rFonts w:ascii="Arial" w:hAnsi="Arial" w:cs="Arial"/>
        </w:rPr>
        <w:pict>
          <v:line id="Line 36" style="position:absolute;z-index:-36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570230"/>
        </w:pict>
      </w:r>
      <w:r>
        <w:rPr>
          <w:rFonts w:ascii="Arial" w:hAnsi="Arial" w:cs="Arial"/>
        </w:rPr>
        <w:pict>
          <v:line id="Line 37" style="position:absolute;z-index:-35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6616700,0"/>
        </w:pict>
      </w:r>
      <w:r>
        <w:rPr>
          <w:rFonts w:ascii="Arial" w:hAnsi="Arial" w:cs="Arial"/>
        </w:rPr>
        <w:pict>
          <v:line id="Line 38" style="position:absolute;z-index:-34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217805"/>
        </w:pict>
      </w:r>
      <w:r>
        <w:rPr>
          <w:rFonts w:ascii="Arial" w:hAnsi="Arial" w:cs="Arial"/>
        </w:rPr>
        <w:pict>
          <v:line id="Line 39" style="position:absolute;z-index:-33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6624955,0"/>
        </w:pict>
      </w:r>
      <w:r>
        <w:rPr>
          <w:rFonts w:ascii="Arial" w:hAnsi="Arial" w:cs="Arial"/>
        </w:rPr>
        <w:pict>
          <v:line id="Line 40" style="position:absolute;z-index:-32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217805"/>
        </w:pict>
      </w:r>
      <w:r>
        <w:rPr>
          <w:rFonts w:ascii="Arial" w:hAnsi="Arial" w:cs="Arial"/>
        </w:rPr>
        <w:pict>
          <v:shape xmlns:o="urn:schemas-microsoft-com:office:office" id="Picture 41" o:spid="_x0000_s1066" type="#_x0000_t75" style="position:absolute;width:104.65pt;height:41.15pt;z-index:-31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1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296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296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Kontakt mit Haut, Augen und Kleidung vermeiden. </w:t>
      </w:r>
    </w:p>
    <w:p>
      <w:pPr>
        <w:framePr w:w="7875" w:h="296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für Notfälle geschultes Personal: Den betroffenen Bereich belüften. </w:t>
      </w:r>
    </w:p>
    <w:p>
      <w:pPr>
        <w:framePr w:w="7875" w:h="296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Einsatzkräfte: Bei Einwirkungen von Dämpfen, Stäuben und Aerosolen ist Atemschutz zu verwenden. </w:t>
      </w:r>
    </w:p>
    <w:p>
      <w:pPr>
        <w:framePr w:w="7875" w:h="296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296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296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75" w:h="296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Für Rückhaltung: Mit flüssigkeitsbindendem Material (Sand, Kieselgur, Säurebinder, Universalbinder) aufnehmen. </w:t>
      </w:r>
    </w:p>
    <w:p>
      <w:pPr>
        <w:framePr w:w="7875" w:h="296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Für Reinigung: Das aufgenommene Material gemäß Abschnitt Entsorgung behandeln. </w:t>
      </w:r>
    </w:p>
    <w:p>
      <w:pPr>
        <w:framePr w:w="7875" w:h="296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In geeigneten, geschlossenen Behältern sammeln und zur Entsorgung bringen. </w:t>
      </w:r>
    </w:p>
    <w:p>
      <w:pPr>
        <w:framePr w:w="7875" w:h="296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Den betroffenen Bereich belüften.</w:t>
      </w:r>
    </w:p>
    <w:p>
      <w:pPr>
        <w:framePr w:w="7875" w:h="1824" w:hRule="exact" w:vAnchor="page" w:hAnchor="page" w:x="1967" w:y="544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pict>
          <v:shape xmlns:o="urn:schemas-microsoft-com:office:office" id="Picture 42" o:spid="_x0000_s1067" type="#_x0000_t75" style="position:absolute;width:48.3pt;height:48.3pt;z-index:-29;mso-wrap-distance-left:9pt;mso-wrap-distance-top:0pt;mso-wrap-distance-right:9pt;mso-wrap-distance-bottom:0pt;margin-left:40.75pt;margin-top:272.05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3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 xml:space="preserve">Allgemeine Hinweise: Beschmutzte, getränkte Kleidung sofort ausziehen. </w:t>
      </w:r>
    </w:p>
    <w:p>
      <w:pPr>
        <w:framePr w:w="7875" w:h="1824" w:hRule="exact" w:vAnchor="page" w:hAnchor="page" w:x="1967" w:y="544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824" w:hRule="exact" w:vAnchor="page" w:hAnchor="page" w:x="1967" w:y="544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Kontaminierte Kleidung ausziehen und vor erneutem Tragen waschen. </w:t>
      </w:r>
    </w:p>
    <w:p>
      <w:pPr>
        <w:framePr w:w="7875" w:h="1824" w:hRule="exact" w:vAnchor="page" w:hAnchor="page" w:x="1967" w:y="544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824" w:hRule="exact" w:vAnchor="page" w:hAnchor="page" w:x="1967" w:y="544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Nach Verschlucken: Sofort Mund ausspülen und reichlich Wasser nachtrinken.</w:t>
      </w:r>
    </w:p>
    <w:p>
      <w:pPr>
        <w:framePr w:w="7875" w:h="1824" w:hRule="exact" w:vAnchor="page" w:hAnchor="page" w:x="1967" w:y="544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504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43" style="position:absolute;width:48.3pt;height:48.3pt;z-index:-29;mso-wrap-distance-left:9pt;mso-wrap-distance-top:0pt;mso-wrap-distance-right:9pt;mso-wrap-distance-bottom:0pt;margin-left:40.75pt;margin-top:272.0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646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646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1140" w:hRule="exact" w:vAnchor="page" w:hAnchor="page" w:x="816" w:y="77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1140" w:hRule="exact" w:vAnchor="page" w:hAnchor="page" w:x="816" w:y="77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1140" w:hRule="exact" w:vAnchor="page" w:hAnchor="page" w:x="816" w:y="77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</w:p>
    <w:p>
      <w:pPr>
        <w:framePr w:w="10196" w:h="1140" w:hRule="exact" w:vAnchor="page" w:hAnchor="page" w:x="816" w:y="77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73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02.02.2023</w:t>
      </w:r>
    </w:p>
    <w:p>
      <w:pPr>
        <w:framePr w:w="969" w:h="251" w:hRule="exact" w:vAnchor="page" w:hAnchor="page" w:x="10442" w:y="15755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BA_P930</w:t>
      </w:r>
    </w:p>
    <w:p>
      <w:pPr>
        <w:framePr w:w="627" w:h="185" w:hRule="exact" w:vAnchor="page" w:hAnchor="page" w:x="5398" w:y="15867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0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1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4" w:h="16834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useWord2002TableStyleRules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API/22.1.3.0</Application>
  <AppVersion>22.1</AppVersion>
  <Company>BUZIL-WERK Wagner GmbH &amp; Co. KG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BUZIL-WERK Wagner GmbH &amp; Co. KG</dc:creator>
  <dcterms:created xsi:type="dcterms:W3CDTF">2023-02-02T18:00:16Z</dcterms:created>
  <dcterms:modified xsi:type="dcterms:W3CDTF">2023-02-02T18:00:17Z</dcterms:modified>
  <cp:revision>2</cp:revision>
</cp:coreProperties>
</file>